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EB56AE" w:rsidRPr="00A013FC" w:rsidTr="00CF2AA7">
        <w:tc>
          <w:tcPr>
            <w:tcW w:w="5000" w:type="pct"/>
          </w:tcPr>
          <w:p w:rsidR="00EB56AE" w:rsidRPr="00EB56AE" w:rsidRDefault="00EB56AE" w:rsidP="00CF2AA7">
            <w:pPr>
              <w:suppressAutoHyphens/>
              <w:rPr>
                <w:sz w:val="24"/>
              </w:rPr>
            </w:pPr>
            <w:r w:rsidRPr="00EB56AE">
              <w:rPr>
                <w:sz w:val="24"/>
              </w:rPr>
              <w:t>Telekgerendás Község Önkormányzata</w:t>
            </w:r>
          </w:p>
          <w:p w:rsidR="00EB56AE" w:rsidRPr="00EB56AE" w:rsidRDefault="00EB56AE" w:rsidP="00CF2AA7">
            <w:pPr>
              <w:suppressAutoHyphens/>
              <w:rPr>
                <w:sz w:val="24"/>
              </w:rPr>
            </w:pPr>
            <w:r w:rsidRPr="00EB56AE">
              <w:rPr>
                <w:sz w:val="24"/>
              </w:rPr>
              <w:t>Székhely: 5675 Telekgerendás, Dózsa György utca 13.</w:t>
            </w:r>
          </w:p>
          <w:p w:rsidR="00EB56AE" w:rsidRPr="00EB56AE" w:rsidRDefault="00EB56AE" w:rsidP="00CF2AA7">
            <w:pPr>
              <w:suppressAutoHyphens/>
              <w:rPr>
                <w:sz w:val="24"/>
              </w:rPr>
            </w:pPr>
            <w:r w:rsidRPr="00EB56AE">
              <w:rPr>
                <w:sz w:val="24"/>
              </w:rPr>
              <w:t>Adószám: 15725400-2-04</w:t>
            </w:r>
          </w:p>
          <w:p w:rsidR="00EB56AE" w:rsidRPr="00EB56AE" w:rsidRDefault="00EB56AE" w:rsidP="00CF2AA7">
            <w:pPr>
              <w:suppressAutoHyphens/>
              <w:rPr>
                <w:sz w:val="24"/>
              </w:rPr>
            </w:pPr>
            <w:r w:rsidRPr="00EB56AE">
              <w:rPr>
                <w:sz w:val="24"/>
              </w:rPr>
              <w:t>Számlavezető pénzintézet neve: Gádoros és Vidéke Takarékszövetkezet</w:t>
            </w:r>
          </w:p>
          <w:p w:rsidR="00EB56AE" w:rsidRPr="00EB56AE" w:rsidRDefault="00EB56AE" w:rsidP="00CF2AA7">
            <w:pPr>
              <w:suppressAutoHyphens/>
              <w:rPr>
                <w:sz w:val="24"/>
              </w:rPr>
            </w:pPr>
            <w:r w:rsidRPr="00EB56AE">
              <w:rPr>
                <w:sz w:val="24"/>
              </w:rPr>
              <w:t>Bankszámlaszám: 53300029-11047344</w:t>
            </w:r>
          </w:p>
          <w:p w:rsidR="00EB56AE" w:rsidRPr="00A013FC" w:rsidRDefault="00EB56AE" w:rsidP="00CF2AA7">
            <w:pPr>
              <w:suppressAutoHyphens/>
            </w:pPr>
            <w:r w:rsidRPr="00EB56AE">
              <w:rPr>
                <w:sz w:val="24"/>
              </w:rPr>
              <w:t xml:space="preserve">Képviseli: </w:t>
            </w:r>
            <w:proofErr w:type="spellStart"/>
            <w:r w:rsidRPr="00EB56AE">
              <w:rPr>
                <w:sz w:val="24"/>
              </w:rPr>
              <w:t>Ránkli</w:t>
            </w:r>
            <w:proofErr w:type="spellEnd"/>
            <w:r w:rsidRPr="00EB56AE">
              <w:rPr>
                <w:sz w:val="24"/>
              </w:rPr>
              <w:t xml:space="preserve"> Ferenc,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2A56BA" w:rsidRPr="002A56BA">
        <w:rPr>
          <w:rFonts w:ascii="Times New Roman" w:hAnsi="Times New Roman"/>
          <w:b/>
          <w:szCs w:val="24"/>
          <w:lang w:val="hu-HU"/>
        </w:rPr>
        <w:t xml:space="preserve">Telekgerendás Hétszínvilág Óvoda és Bölcsőde korszerűsítése és a szolgáltatások minőségének </w:t>
      </w:r>
      <w:proofErr w:type="gramStart"/>
      <w:r w:rsidR="002A56BA" w:rsidRPr="002A56BA">
        <w:rPr>
          <w:rFonts w:ascii="Times New Roman" w:hAnsi="Times New Roman"/>
          <w:b/>
          <w:szCs w:val="24"/>
          <w:lang w:val="hu-HU"/>
        </w:rPr>
        <w:t>fejlesztése</w:t>
      </w:r>
      <w:r w:rsidR="002A56BA">
        <w:rPr>
          <w:b/>
          <w:bCs/>
          <w:sz w:val="18"/>
          <w:szCs w:val="18"/>
        </w:rPr>
        <w:t xml:space="preserve"> </w:t>
      </w:r>
      <w:r w:rsidR="002A56BA" w:rsidRPr="009A3A6A">
        <w:rPr>
          <w:b/>
          <w:bCs/>
          <w:sz w:val="18"/>
          <w:szCs w:val="18"/>
        </w:rPr>
        <w:t xml:space="preserve"> </w:t>
      </w:r>
      <w:r w:rsidR="0094165A" w:rsidRPr="00674C23">
        <w:rPr>
          <w:rFonts w:ascii="Times New Roman" w:hAnsi="Times New Roman"/>
          <w:szCs w:val="24"/>
        </w:rPr>
        <w:t>” tárgyban</w:t>
      </w:r>
      <w:proofErr w:type="gramEnd"/>
      <w:r w:rsidR="0094165A" w:rsidRPr="00674C23">
        <w:rPr>
          <w:rFonts w:ascii="Times New Roman" w:hAnsi="Times New Roman"/>
          <w:szCs w:val="24"/>
        </w:rPr>
        <w:t>.</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B0A1F">
        <w:rPr>
          <w:rFonts w:ascii="Times New Roman" w:hAnsi="Times New Roman"/>
          <w:szCs w:val="24"/>
          <w:lang w:val="hu-HU"/>
        </w:rPr>
        <w:t>7</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 xml:space="preserve">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E526F7">
        <w:rPr>
          <w:sz w:val="24"/>
          <w:szCs w:val="24"/>
        </w:rPr>
        <w:t>A munka megnevezése</w:t>
      </w:r>
      <w:r w:rsidR="00970317" w:rsidRPr="00E526F7">
        <w:rPr>
          <w:sz w:val="24"/>
          <w:szCs w:val="24"/>
        </w:rPr>
        <w:t xml:space="preserve"> és mennyisége</w:t>
      </w:r>
      <w:r w:rsidRPr="00E526F7">
        <w:rPr>
          <w:sz w:val="24"/>
          <w:szCs w:val="24"/>
        </w:rPr>
        <w:t>:</w:t>
      </w:r>
    </w:p>
    <w:p w:rsidR="00E526F7" w:rsidRPr="00E526F7" w:rsidRDefault="00E526F7" w:rsidP="00E526F7">
      <w:pPr>
        <w:spacing w:before="120" w:after="120"/>
        <w:rPr>
          <w:sz w:val="24"/>
          <w:szCs w:val="24"/>
        </w:rPr>
      </w:pPr>
      <w:r w:rsidRPr="00E526F7">
        <w:rPr>
          <w:sz w:val="24"/>
          <w:szCs w:val="24"/>
        </w:rPr>
        <w:t xml:space="preserve">Az óvoda korszerű használatához szükséges az óvoda </w:t>
      </w:r>
      <w:proofErr w:type="gramStart"/>
      <w:r w:rsidRPr="00E526F7">
        <w:rPr>
          <w:sz w:val="24"/>
          <w:szCs w:val="24"/>
        </w:rPr>
        <w:t>átalakítása</w:t>
      </w:r>
      <w:proofErr w:type="gramEnd"/>
      <w:r w:rsidRPr="00E526F7">
        <w:rPr>
          <w:sz w:val="24"/>
          <w:szCs w:val="24"/>
        </w:rPr>
        <w:t xml:space="preserve"> ami bontási, felújítási, tetőtér beépítési munkákkal valósulna meg.</w:t>
      </w:r>
    </w:p>
    <w:p w:rsidR="00E526F7" w:rsidRDefault="00E526F7" w:rsidP="00E526F7">
      <w:pPr>
        <w:spacing w:before="120" w:after="120"/>
        <w:rPr>
          <w:sz w:val="24"/>
          <w:szCs w:val="24"/>
        </w:rPr>
      </w:pPr>
    </w:p>
    <w:p w:rsidR="00E526F7" w:rsidRPr="00E526F7" w:rsidRDefault="00E526F7" w:rsidP="00E526F7">
      <w:pPr>
        <w:spacing w:before="120" w:after="120"/>
        <w:rPr>
          <w:sz w:val="24"/>
          <w:szCs w:val="24"/>
        </w:rPr>
      </w:pPr>
      <w:r w:rsidRPr="00E526F7">
        <w:rPr>
          <w:sz w:val="24"/>
          <w:szCs w:val="24"/>
        </w:rPr>
        <w:lastRenderedPageBreak/>
        <w:t xml:space="preserve">1,/ Építészet: </w:t>
      </w:r>
    </w:p>
    <w:p w:rsidR="00E526F7" w:rsidRPr="00E526F7" w:rsidRDefault="00E526F7" w:rsidP="00E526F7">
      <w:pPr>
        <w:rPr>
          <w:sz w:val="24"/>
          <w:szCs w:val="24"/>
        </w:rPr>
      </w:pPr>
      <w:r w:rsidRPr="00E526F7">
        <w:rPr>
          <w:sz w:val="24"/>
          <w:szCs w:val="24"/>
        </w:rPr>
        <w:t>Az épület átalakítása nem teljes körű.</w:t>
      </w:r>
    </w:p>
    <w:p w:rsidR="00E526F7" w:rsidRPr="00E526F7" w:rsidRDefault="00E526F7" w:rsidP="00E526F7">
      <w:pPr>
        <w:rPr>
          <w:sz w:val="24"/>
          <w:szCs w:val="24"/>
        </w:rPr>
      </w:pPr>
      <w:r w:rsidRPr="00E526F7">
        <w:rPr>
          <w:sz w:val="24"/>
          <w:szCs w:val="24"/>
        </w:rPr>
        <w:t>Az épület átalakításával bontási munkák, felújítási munkák és tetőtér beépítési munkák valósulnak meg.</w:t>
      </w:r>
    </w:p>
    <w:p w:rsidR="00E526F7" w:rsidRPr="00E526F7" w:rsidRDefault="00E526F7" w:rsidP="00E526F7">
      <w:pPr>
        <w:rPr>
          <w:sz w:val="24"/>
          <w:szCs w:val="24"/>
        </w:rPr>
      </w:pPr>
      <w:r w:rsidRPr="00E526F7">
        <w:rPr>
          <w:sz w:val="24"/>
          <w:szCs w:val="24"/>
        </w:rPr>
        <w:t>Az épület már el van látva akadálymentesített feljáró rámpával, így annak megépítése már nem szükséges.</w:t>
      </w:r>
    </w:p>
    <w:p w:rsidR="00E526F7" w:rsidRPr="00E526F7" w:rsidRDefault="00E526F7" w:rsidP="00E526F7">
      <w:pPr>
        <w:rPr>
          <w:sz w:val="24"/>
          <w:szCs w:val="24"/>
        </w:rPr>
      </w:pPr>
      <w:r w:rsidRPr="00E526F7">
        <w:rPr>
          <w:sz w:val="24"/>
          <w:szCs w:val="24"/>
        </w:rPr>
        <w:t>Az óvodai létesítmény egy 2980 m2-es teleken helyezkedik el, amelyen az épület 406,54 m2 alapterületű.</w:t>
      </w:r>
    </w:p>
    <w:p w:rsidR="00E526F7" w:rsidRPr="00E526F7" w:rsidRDefault="00E526F7" w:rsidP="00E526F7">
      <w:pPr>
        <w:rPr>
          <w:sz w:val="24"/>
          <w:szCs w:val="24"/>
        </w:rPr>
      </w:pPr>
      <w:r w:rsidRPr="00E526F7">
        <w:rPr>
          <w:sz w:val="24"/>
          <w:szCs w:val="24"/>
        </w:rPr>
        <w:t xml:space="preserve">Az építéshatósággal történt egyeztetés követően megállapítható, hogy a felújítandó épület munkálata nem építési engedély köteles. </w:t>
      </w:r>
    </w:p>
    <w:p w:rsidR="00E526F7" w:rsidRPr="00E526F7" w:rsidRDefault="00E526F7" w:rsidP="00E526F7">
      <w:pPr>
        <w:spacing w:before="120" w:after="120"/>
        <w:rPr>
          <w:sz w:val="24"/>
          <w:szCs w:val="24"/>
        </w:rPr>
      </w:pPr>
      <w:r w:rsidRPr="00E526F7">
        <w:rPr>
          <w:sz w:val="24"/>
          <w:szCs w:val="24"/>
        </w:rPr>
        <w:t>2./ A korszerűsítések ismertetésé:</w:t>
      </w:r>
    </w:p>
    <w:p w:rsidR="00E526F7" w:rsidRPr="00E526F7" w:rsidRDefault="00E526F7" w:rsidP="00E526F7">
      <w:pPr>
        <w:rPr>
          <w:sz w:val="24"/>
          <w:szCs w:val="24"/>
        </w:rPr>
      </w:pPr>
      <w:r w:rsidRPr="00E526F7">
        <w:rPr>
          <w:sz w:val="24"/>
          <w:szCs w:val="24"/>
        </w:rPr>
        <w:t xml:space="preserve"> Az épület szerkezeti ismertetése: </w:t>
      </w:r>
    </w:p>
    <w:p w:rsidR="00E526F7" w:rsidRPr="00E526F7" w:rsidRDefault="00E526F7" w:rsidP="00E526F7">
      <w:pPr>
        <w:rPr>
          <w:sz w:val="24"/>
          <w:szCs w:val="24"/>
        </w:rPr>
      </w:pPr>
      <w:r w:rsidRPr="00E526F7">
        <w:rPr>
          <w:sz w:val="24"/>
          <w:szCs w:val="24"/>
        </w:rPr>
        <w:t xml:space="preserve">Alapozás: Nagyméretű tömör tégla sávalap. </w:t>
      </w:r>
    </w:p>
    <w:p w:rsidR="00E526F7" w:rsidRPr="00E526F7" w:rsidRDefault="00E526F7" w:rsidP="00E526F7">
      <w:pPr>
        <w:rPr>
          <w:sz w:val="24"/>
          <w:szCs w:val="24"/>
        </w:rPr>
      </w:pPr>
      <w:r w:rsidRPr="00E526F7">
        <w:rPr>
          <w:sz w:val="24"/>
          <w:szCs w:val="24"/>
        </w:rPr>
        <w:t xml:space="preserve">Lábazat: 12 sor nagyméretű tömör téglából falazott. </w:t>
      </w:r>
    </w:p>
    <w:p w:rsidR="00E526F7" w:rsidRPr="00E526F7" w:rsidRDefault="00E526F7" w:rsidP="00E526F7">
      <w:pPr>
        <w:rPr>
          <w:sz w:val="24"/>
          <w:szCs w:val="24"/>
        </w:rPr>
      </w:pPr>
      <w:r w:rsidRPr="00E526F7">
        <w:rPr>
          <w:sz w:val="24"/>
          <w:szCs w:val="24"/>
        </w:rPr>
        <w:t xml:space="preserve">Teherhordó falazat: 38 cm vastag téglából falazott szerkezet. </w:t>
      </w:r>
    </w:p>
    <w:p w:rsidR="00E526F7" w:rsidRPr="00E526F7" w:rsidRDefault="00E526F7" w:rsidP="00E526F7">
      <w:pPr>
        <w:rPr>
          <w:sz w:val="24"/>
          <w:szCs w:val="24"/>
        </w:rPr>
      </w:pPr>
      <w:r w:rsidRPr="00E526F7">
        <w:rPr>
          <w:sz w:val="24"/>
          <w:szCs w:val="24"/>
        </w:rPr>
        <w:t xml:space="preserve">Az épület átalakítása nem </w:t>
      </w:r>
      <w:proofErr w:type="spellStart"/>
      <w:r w:rsidRPr="00E526F7">
        <w:rPr>
          <w:sz w:val="24"/>
          <w:szCs w:val="24"/>
        </w:rPr>
        <w:t>teljeskörű</w:t>
      </w:r>
      <w:proofErr w:type="spellEnd"/>
      <w:r w:rsidRPr="00E526F7">
        <w:rPr>
          <w:sz w:val="24"/>
          <w:szCs w:val="24"/>
        </w:rPr>
        <w:t xml:space="preserve">. Az épület átalakításával bontási munkák, felújítási munkák és padlástér részbeni beépítési munkái valósulnak meg. </w:t>
      </w:r>
    </w:p>
    <w:p w:rsidR="00E526F7" w:rsidRPr="00E526F7" w:rsidRDefault="00E526F7" w:rsidP="00E526F7">
      <w:pPr>
        <w:rPr>
          <w:sz w:val="24"/>
          <w:szCs w:val="24"/>
        </w:rPr>
      </w:pPr>
      <w:r w:rsidRPr="00E526F7">
        <w:rPr>
          <w:sz w:val="24"/>
          <w:szCs w:val="24"/>
        </w:rPr>
        <w:t xml:space="preserve">Az épület már el van látva akadálymentesített feljáró rámpával, de a jogszabályban előírt feltételeknek nem felel meg, így annak átalakítása, átépítése is szükséges. </w:t>
      </w:r>
    </w:p>
    <w:p w:rsidR="00E526F7" w:rsidRPr="00E526F7" w:rsidRDefault="00E526F7" w:rsidP="00E526F7">
      <w:pPr>
        <w:rPr>
          <w:sz w:val="24"/>
          <w:szCs w:val="24"/>
        </w:rPr>
      </w:pPr>
      <w:r w:rsidRPr="00E526F7">
        <w:rPr>
          <w:sz w:val="24"/>
          <w:szCs w:val="24"/>
        </w:rPr>
        <w:t xml:space="preserve">Az óvodai létesítmény egy 2980 m2-es teleken helyezkedik el, amelyen az épület 406, 54 m2 alapterületű. </w:t>
      </w:r>
    </w:p>
    <w:p w:rsidR="00E526F7" w:rsidRPr="00E526F7" w:rsidRDefault="00E526F7" w:rsidP="00E526F7">
      <w:pPr>
        <w:rPr>
          <w:sz w:val="24"/>
          <w:szCs w:val="24"/>
        </w:rPr>
      </w:pPr>
      <w:r w:rsidRPr="00E526F7">
        <w:rPr>
          <w:sz w:val="24"/>
          <w:szCs w:val="24"/>
        </w:rPr>
        <w:t xml:space="preserve">A korszerűsítési, felújítási munkák ismertetése: </w:t>
      </w:r>
    </w:p>
    <w:p w:rsidR="00E526F7" w:rsidRPr="00E526F7" w:rsidRDefault="00E526F7" w:rsidP="00E526F7">
      <w:pPr>
        <w:spacing w:before="120" w:after="120"/>
        <w:rPr>
          <w:sz w:val="24"/>
          <w:szCs w:val="24"/>
        </w:rPr>
      </w:pPr>
      <w:r w:rsidRPr="00E526F7">
        <w:rPr>
          <w:sz w:val="24"/>
          <w:szCs w:val="24"/>
        </w:rPr>
        <w:t xml:space="preserve">1. Bontási munkák: </w:t>
      </w:r>
    </w:p>
    <w:p w:rsidR="00E526F7" w:rsidRPr="00E526F7" w:rsidRDefault="00E526F7" w:rsidP="00E526F7">
      <w:pPr>
        <w:rPr>
          <w:sz w:val="24"/>
          <w:szCs w:val="24"/>
        </w:rPr>
      </w:pPr>
      <w:r w:rsidRPr="00E526F7">
        <w:rPr>
          <w:sz w:val="24"/>
          <w:szCs w:val="24"/>
        </w:rPr>
        <w:t xml:space="preserve">- Szükség esetén meglévő padlóburkolat bontása, bármely anyagból bontott </w:t>
      </w:r>
    </w:p>
    <w:p w:rsidR="00E526F7" w:rsidRPr="00E526F7" w:rsidRDefault="00E526F7" w:rsidP="00E526F7">
      <w:pPr>
        <w:rPr>
          <w:sz w:val="24"/>
          <w:szCs w:val="24"/>
        </w:rPr>
      </w:pPr>
      <w:proofErr w:type="gramStart"/>
      <w:r w:rsidRPr="00E526F7">
        <w:rPr>
          <w:sz w:val="24"/>
          <w:szCs w:val="24"/>
        </w:rPr>
        <w:t>anyag</w:t>
      </w:r>
      <w:proofErr w:type="gramEnd"/>
      <w:r w:rsidRPr="00E526F7">
        <w:rPr>
          <w:sz w:val="24"/>
          <w:szCs w:val="24"/>
        </w:rPr>
        <w:t xml:space="preserve"> elszállításával (foglalkoztatók, és </w:t>
      </w:r>
      <w:proofErr w:type="spellStart"/>
      <w:r w:rsidRPr="00E526F7">
        <w:rPr>
          <w:sz w:val="24"/>
          <w:szCs w:val="24"/>
        </w:rPr>
        <w:t>wc</w:t>
      </w:r>
      <w:proofErr w:type="spellEnd"/>
      <w:r w:rsidRPr="00E526F7">
        <w:rPr>
          <w:sz w:val="24"/>
          <w:szCs w:val="24"/>
        </w:rPr>
        <w:t xml:space="preserve"> burkolatok). </w:t>
      </w:r>
    </w:p>
    <w:p w:rsidR="00E526F7" w:rsidRPr="00E526F7" w:rsidRDefault="00E526F7" w:rsidP="00E526F7">
      <w:pPr>
        <w:rPr>
          <w:sz w:val="24"/>
          <w:szCs w:val="24"/>
        </w:rPr>
      </w:pPr>
      <w:r w:rsidRPr="00E526F7">
        <w:rPr>
          <w:sz w:val="24"/>
          <w:szCs w:val="24"/>
        </w:rPr>
        <w:t xml:space="preserve">- Meglévő csempeburkolat elbontása, bontott anyag elszállításával. </w:t>
      </w:r>
    </w:p>
    <w:p w:rsidR="00E526F7" w:rsidRPr="00E526F7" w:rsidRDefault="00E526F7" w:rsidP="00E526F7">
      <w:pPr>
        <w:rPr>
          <w:sz w:val="24"/>
          <w:szCs w:val="24"/>
        </w:rPr>
      </w:pPr>
      <w:r w:rsidRPr="00E526F7">
        <w:rPr>
          <w:sz w:val="24"/>
          <w:szCs w:val="24"/>
        </w:rPr>
        <w:t xml:space="preserve">- Meglévő kerítés elbontása a bontott anyag elszállításával. </w:t>
      </w:r>
    </w:p>
    <w:p w:rsidR="00E526F7" w:rsidRPr="00E526F7" w:rsidRDefault="00E526F7" w:rsidP="00E526F7">
      <w:pPr>
        <w:rPr>
          <w:sz w:val="24"/>
          <w:szCs w:val="24"/>
        </w:rPr>
      </w:pPr>
      <w:r w:rsidRPr="00E526F7">
        <w:rPr>
          <w:sz w:val="24"/>
          <w:szCs w:val="24"/>
        </w:rPr>
        <w:t xml:space="preserve">- Belső és külső ajtók bontása. </w:t>
      </w:r>
    </w:p>
    <w:p w:rsidR="00E526F7" w:rsidRPr="00E526F7" w:rsidRDefault="00E526F7" w:rsidP="00E526F7">
      <w:pPr>
        <w:rPr>
          <w:sz w:val="24"/>
          <w:szCs w:val="24"/>
        </w:rPr>
      </w:pPr>
      <w:r w:rsidRPr="00E526F7">
        <w:rPr>
          <w:sz w:val="24"/>
          <w:szCs w:val="24"/>
        </w:rPr>
        <w:t xml:space="preserve">- Külső falban lévő ablak bontása. </w:t>
      </w:r>
    </w:p>
    <w:p w:rsidR="00E526F7" w:rsidRPr="00E526F7" w:rsidRDefault="00E526F7" w:rsidP="00E526F7">
      <w:pPr>
        <w:rPr>
          <w:sz w:val="24"/>
          <w:szCs w:val="24"/>
        </w:rPr>
      </w:pPr>
      <w:r w:rsidRPr="00E526F7">
        <w:rPr>
          <w:sz w:val="24"/>
          <w:szCs w:val="24"/>
        </w:rPr>
        <w:t xml:space="preserve">- Falazat bontása, </w:t>
      </w:r>
      <w:proofErr w:type="spellStart"/>
      <w:r w:rsidRPr="00E526F7">
        <w:rPr>
          <w:sz w:val="24"/>
          <w:szCs w:val="24"/>
        </w:rPr>
        <w:t>nyíláskíváltás</w:t>
      </w:r>
      <w:proofErr w:type="spellEnd"/>
      <w:r w:rsidRPr="00E526F7">
        <w:rPr>
          <w:sz w:val="24"/>
          <w:szCs w:val="24"/>
        </w:rPr>
        <w:t xml:space="preserve">. </w:t>
      </w:r>
    </w:p>
    <w:p w:rsidR="00E526F7" w:rsidRPr="00E526F7" w:rsidRDefault="00E526F7" w:rsidP="00E526F7">
      <w:pPr>
        <w:rPr>
          <w:sz w:val="24"/>
          <w:szCs w:val="24"/>
        </w:rPr>
      </w:pPr>
      <w:r w:rsidRPr="00E526F7">
        <w:rPr>
          <w:sz w:val="24"/>
          <w:szCs w:val="24"/>
        </w:rPr>
        <w:t xml:space="preserve">- Meglévő rámpa elbontása. </w:t>
      </w:r>
    </w:p>
    <w:p w:rsidR="00E526F7" w:rsidRPr="00E526F7" w:rsidRDefault="00E526F7" w:rsidP="00E526F7">
      <w:pPr>
        <w:rPr>
          <w:sz w:val="24"/>
          <w:szCs w:val="24"/>
        </w:rPr>
      </w:pPr>
      <w:r w:rsidRPr="00E526F7">
        <w:rPr>
          <w:sz w:val="24"/>
          <w:szCs w:val="24"/>
        </w:rPr>
        <w:t xml:space="preserve">2. Felújítási munkák: </w:t>
      </w:r>
    </w:p>
    <w:p w:rsidR="00E526F7" w:rsidRPr="00E526F7" w:rsidRDefault="00E526F7" w:rsidP="00E526F7">
      <w:pPr>
        <w:rPr>
          <w:sz w:val="24"/>
          <w:szCs w:val="24"/>
        </w:rPr>
      </w:pPr>
      <w:r w:rsidRPr="00E526F7">
        <w:rPr>
          <w:sz w:val="24"/>
          <w:szCs w:val="24"/>
        </w:rPr>
        <w:t xml:space="preserve">- Új belső nyílászárók, ajtók beépítése 100/210-es méretben. </w:t>
      </w:r>
    </w:p>
    <w:p w:rsidR="00E526F7" w:rsidRPr="00E526F7" w:rsidRDefault="00E526F7" w:rsidP="00E526F7">
      <w:pPr>
        <w:rPr>
          <w:sz w:val="24"/>
          <w:szCs w:val="24"/>
        </w:rPr>
      </w:pPr>
      <w:r w:rsidRPr="00E526F7">
        <w:rPr>
          <w:sz w:val="24"/>
          <w:szCs w:val="24"/>
        </w:rPr>
        <w:t xml:space="preserve">- Új külső nyílászáró, ablak beépítése. </w:t>
      </w:r>
    </w:p>
    <w:p w:rsidR="00E526F7" w:rsidRPr="00E526F7" w:rsidRDefault="00E526F7" w:rsidP="00E526F7">
      <w:pPr>
        <w:rPr>
          <w:sz w:val="24"/>
          <w:szCs w:val="24"/>
        </w:rPr>
      </w:pPr>
      <w:r w:rsidRPr="00E526F7">
        <w:rPr>
          <w:sz w:val="24"/>
          <w:szCs w:val="24"/>
        </w:rPr>
        <w:t xml:space="preserve">- Belső festés és javítási munkák, burkolat és bontás utáni helyreállítás. </w:t>
      </w:r>
    </w:p>
    <w:p w:rsidR="00E526F7" w:rsidRPr="00E526F7" w:rsidRDefault="00E526F7" w:rsidP="00E526F7">
      <w:pPr>
        <w:rPr>
          <w:sz w:val="24"/>
          <w:szCs w:val="24"/>
        </w:rPr>
      </w:pPr>
      <w:r w:rsidRPr="00E526F7">
        <w:rPr>
          <w:sz w:val="24"/>
          <w:szCs w:val="24"/>
        </w:rPr>
        <w:t xml:space="preserve">- Új padló és csempeburkolatok készítése. </w:t>
      </w:r>
    </w:p>
    <w:p w:rsidR="00E526F7" w:rsidRPr="00E526F7" w:rsidRDefault="00E526F7" w:rsidP="00E526F7">
      <w:pPr>
        <w:rPr>
          <w:sz w:val="24"/>
          <w:szCs w:val="24"/>
        </w:rPr>
      </w:pPr>
      <w:r w:rsidRPr="00E526F7">
        <w:rPr>
          <w:sz w:val="24"/>
          <w:szCs w:val="24"/>
        </w:rPr>
        <w:t xml:space="preserve">- Új parkoló építése az intézmény előtt </w:t>
      </w:r>
      <w:proofErr w:type="spellStart"/>
      <w:r w:rsidRPr="00E526F7">
        <w:rPr>
          <w:sz w:val="24"/>
          <w:szCs w:val="24"/>
        </w:rPr>
        <w:t>csapadékvízelvezető</w:t>
      </w:r>
      <w:proofErr w:type="spellEnd"/>
      <w:r w:rsidRPr="00E526F7">
        <w:rPr>
          <w:sz w:val="24"/>
          <w:szCs w:val="24"/>
        </w:rPr>
        <w:t xml:space="preserve"> árok lefedésével, </w:t>
      </w:r>
    </w:p>
    <w:p w:rsidR="00E526F7" w:rsidRPr="00E526F7" w:rsidRDefault="00E526F7" w:rsidP="00E526F7">
      <w:pPr>
        <w:rPr>
          <w:sz w:val="24"/>
          <w:szCs w:val="24"/>
        </w:rPr>
      </w:pPr>
      <w:proofErr w:type="gramStart"/>
      <w:r w:rsidRPr="00E526F7">
        <w:rPr>
          <w:sz w:val="24"/>
          <w:szCs w:val="24"/>
        </w:rPr>
        <w:t>szórt</w:t>
      </w:r>
      <w:proofErr w:type="gramEnd"/>
      <w:r w:rsidRPr="00E526F7">
        <w:rPr>
          <w:sz w:val="24"/>
          <w:szCs w:val="24"/>
        </w:rPr>
        <w:t xml:space="preserve"> útalappal. </w:t>
      </w:r>
    </w:p>
    <w:p w:rsidR="00E526F7" w:rsidRPr="00E526F7" w:rsidRDefault="00E526F7" w:rsidP="00E526F7">
      <w:pPr>
        <w:rPr>
          <w:sz w:val="24"/>
          <w:szCs w:val="24"/>
        </w:rPr>
      </w:pPr>
      <w:r w:rsidRPr="00E526F7">
        <w:rPr>
          <w:sz w:val="24"/>
          <w:szCs w:val="24"/>
        </w:rPr>
        <w:t xml:space="preserve">- Új kerékpártároló építése 11x3 méter méretben. </w:t>
      </w:r>
    </w:p>
    <w:p w:rsidR="00E526F7" w:rsidRPr="00E526F7" w:rsidRDefault="00E526F7" w:rsidP="00E526F7">
      <w:pPr>
        <w:rPr>
          <w:sz w:val="24"/>
          <w:szCs w:val="24"/>
        </w:rPr>
      </w:pPr>
      <w:r w:rsidRPr="00E526F7">
        <w:rPr>
          <w:sz w:val="24"/>
          <w:szCs w:val="24"/>
        </w:rPr>
        <w:t xml:space="preserve">- Tető felújítása régi héjazat cseréjével (új cserépléc, ellenléc, tetőfólia). </w:t>
      </w:r>
    </w:p>
    <w:p w:rsidR="00E526F7" w:rsidRPr="00E526F7" w:rsidRDefault="00E526F7" w:rsidP="00E526F7">
      <w:pPr>
        <w:rPr>
          <w:sz w:val="24"/>
          <w:szCs w:val="24"/>
        </w:rPr>
      </w:pPr>
      <w:r w:rsidRPr="00E526F7">
        <w:rPr>
          <w:sz w:val="24"/>
          <w:szCs w:val="24"/>
        </w:rPr>
        <w:t xml:space="preserve">- Napelem telepítése 4 kW teljesítménnyel a meglévő villanymelegítők és az elektromos hálózat energiahatékonyságának növelésére 1,00 készlet. </w:t>
      </w:r>
    </w:p>
    <w:p w:rsidR="00E526F7" w:rsidRPr="00E526F7" w:rsidRDefault="00E526F7" w:rsidP="00E526F7">
      <w:pPr>
        <w:rPr>
          <w:sz w:val="24"/>
          <w:szCs w:val="24"/>
        </w:rPr>
      </w:pPr>
      <w:r w:rsidRPr="00E526F7">
        <w:rPr>
          <w:sz w:val="24"/>
          <w:szCs w:val="24"/>
        </w:rPr>
        <w:t xml:space="preserve">- </w:t>
      </w:r>
      <w:proofErr w:type="spellStart"/>
      <w:r w:rsidRPr="00E526F7">
        <w:rPr>
          <w:sz w:val="24"/>
          <w:szCs w:val="24"/>
        </w:rPr>
        <w:t>Multifunkciós</w:t>
      </w:r>
      <w:proofErr w:type="spellEnd"/>
      <w:r w:rsidRPr="00E526F7">
        <w:rPr>
          <w:sz w:val="24"/>
          <w:szCs w:val="24"/>
        </w:rPr>
        <w:t xml:space="preserve"> szoba </w:t>
      </w:r>
      <w:proofErr w:type="spellStart"/>
      <w:r w:rsidRPr="00E526F7">
        <w:rPr>
          <w:sz w:val="24"/>
          <w:szCs w:val="24"/>
        </w:rPr>
        <w:t>kilakítása</w:t>
      </w:r>
      <w:proofErr w:type="spellEnd"/>
      <w:r w:rsidRPr="00E526F7">
        <w:rPr>
          <w:sz w:val="24"/>
          <w:szCs w:val="24"/>
        </w:rPr>
        <w:t xml:space="preserve"> meglévő helyiségek (2) átalakításával, egybenyitásával </w:t>
      </w:r>
      <w:proofErr w:type="spellStart"/>
      <w:r w:rsidRPr="00E526F7">
        <w:rPr>
          <w:sz w:val="24"/>
          <w:szCs w:val="24"/>
        </w:rPr>
        <w:t>complex</w:t>
      </w:r>
      <w:proofErr w:type="spellEnd"/>
      <w:r w:rsidRPr="00E526F7">
        <w:rPr>
          <w:sz w:val="24"/>
          <w:szCs w:val="24"/>
        </w:rPr>
        <w:t xml:space="preserve"> felújításával. </w:t>
      </w:r>
    </w:p>
    <w:p w:rsidR="00E526F7" w:rsidRPr="00E526F7" w:rsidRDefault="00E526F7" w:rsidP="00E526F7">
      <w:pPr>
        <w:rPr>
          <w:sz w:val="24"/>
          <w:szCs w:val="24"/>
        </w:rPr>
      </w:pPr>
      <w:r w:rsidRPr="00E526F7">
        <w:rPr>
          <w:sz w:val="24"/>
          <w:szCs w:val="24"/>
        </w:rPr>
        <w:t xml:space="preserve">- Akadálymentesített WC kialakítása meglévő helyiségen belüli leválasztással (gipszkarton válaszfalazás), új szaniterek felszerelésével. </w:t>
      </w:r>
    </w:p>
    <w:p w:rsidR="00E526F7" w:rsidRPr="00E526F7" w:rsidRDefault="00E526F7" w:rsidP="00E526F7">
      <w:pPr>
        <w:rPr>
          <w:sz w:val="24"/>
          <w:szCs w:val="24"/>
        </w:rPr>
      </w:pPr>
      <w:r w:rsidRPr="00E526F7">
        <w:rPr>
          <w:sz w:val="24"/>
          <w:szCs w:val="24"/>
        </w:rPr>
        <w:t xml:space="preserve">- Meglévő ajtó </w:t>
      </w:r>
      <w:proofErr w:type="spellStart"/>
      <w:r w:rsidRPr="00E526F7">
        <w:rPr>
          <w:sz w:val="24"/>
          <w:szCs w:val="24"/>
        </w:rPr>
        <w:t>elbontsát</w:t>
      </w:r>
      <w:proofErr w:type="spellEnd"/>
      <w:r w:rsidRPr="00E526F7">
        <w:rPr>
          <w:sz w:val="24"/>
          <w:szCs w:val="24"/>
        </w:rPr>
        <w:t xml:space="preserve"> követő nyílás </w:t>
      </w:r>
      <w:proofErr w:type="spellStart"/>
      <w:r w:rsidRPr="00E526F7">
        <w:rPr>
          <w:sz w:val="24"/>
          <w:szCs w:val="24"/>
        </w:rPr>
        <w:t>befalalzás</w:t>
      </w:r>
      <w:proofErr w:type="spellEnd"/>
      <w:r w:rsidRPr="00E526F7">
        <w:rPr>
          <w:sz w:val="24"/>
          <w:szCs w:val="24"/>
        </w:rPr>
        <w:t xml:space="preserve"> külső falban. </w:t>
      </w:r>
    </w:p>
    <w:p w:rsidR="00E526F7" w:rsidRPr="00E526F7" w:rsidRDefault="00E526F7" w:rsidP="00E526F7">
      <w:pPr>
        <w:rPr>
          <w:sz w:val="24"/>
          <w:szCs w:val="24"/>
        </w:rPr>
      </w:pPr>
      <w:r w:rsidRPr="00E526F7">
        <w:rPr>
          <w:sz w:val="24"/>
          <w:szCs w:val="24"/>
        </w:rPr>
        <w:lastRenderedPageBreak/>
        <w:t xml:space="preserve">- Meglévő helyiségen belüli leválasztás új gipszkarton falazat létesítésével (közlekedő kialakítása a melegítő konyha mellett). </w:t>
      </w:r>
    </w:p>
    <w:p w:rsidR="00E526F7" w:rsidRPr="00E526F7" w:rsidRDefault="00E526F7" w:rsidP="00E526F7">
      <w:pPr>
        <w:rPr>
          <w:sz w:val="24"/>
          <w:szCs w:val="24"/>
        </w:rPr>
      </w:pPr>
      <w:r w:rsidRPr="00E526F7">
        <w:rPr>
          <w:sz w:val="24"/>
          <w:szCs w:val="24"/>
        </w:rPr>
        <w:t xml:space="preserve">- A felújítás során </w:t>
      </w:r>
      <w:proofErr w:type="spellStart"/>
      <w:r w:rsidRPr="00E526F7">
        <w:rPr>
          <w:sz w:val="24"/>
          <w:szCs w:val="24"/>
        </w:rPr>
        <w:t>újonann</w:t>
      </w:r>
      <w:proofErr w:type="spellEnd"/>
      <w:r w:rsidRPr="00E526F7">
        <w:rPr>
          <w:sz w:val="24"/>
          <w:szCs w:val="24"/>
        </w:rPr>
        <w:t xml:space="preserve"> kialakított multifunkcionális és akadálymentesített WC helyiség, illetve azok megközelítésére szolgáló helyiségek gépészeti korszerűsítése, fűtés műszaki megoldása új kombi gázkazán és fűtőtestek </w:t>
      </w:r>
      <w:proofErr w:type="spellStart"/>
      <w:r w:rsidRPr="00E526F7">
        <w:rPr>
          <w:sz w:val="24"/>
          <w:szCs w:val="24"/>
        </w:rPr>
        <w:t>beépítséével</w:t>
      </w:r>
      <w:proofErr w:type="spellEnd"/>
      <w:r w:rsidRPr="00E526F7">
        <w:rPr>
          <w:sz w:val="24"/>
          <w:szCs w:val="24"/>
        </w:rPr>
        <w:t xml:space="preserve">. Meglévő helyiségen belüli leválasztás új gipszkarton falazat létesítésével (közlekedő kialakítása a melegítő konyha mellett). </w:t>
      </w:r>
    </w:p>
    <w:p w:rsidR="00E526F7" w:rsidRPr="00E526F7" w:rsidRDefault="00E526F7" w:rsidP="00E526F7">
      <w:pPr>
        <w:rPr>
          <w:sz w:val="24"/>
          <w:szCs w:val="24"/>
        </w:rPr>
      </w:pPr>
      <w:r w:rsidRPr="00E526F7">
        <w:rPr>
          <w:sz w:val="24"/>
          <w:szCs w:val="24"/>
        </w:rPr>
        <w:t xml:space="preserve">- Az épület már el van látva akadálymentesített feljáró rámpával, de a jogszabályban előírt feltételeknek nem felel meg, így annak átalakítása, átépítése is szükséges. </w:t>
      </w:r>
    </w:p>
    <w:p w:rsidR="00E526F7" w:rsidRPr="00E526F7" w:rsidRDefault="00E526F7" w:rsidP="00E526F7">
      <w:pPr>
        <w:rPr>
          <w:sz w:val="24"/>
          <w:szCs w:val="24"/>
        </w:rPr>
      </w:pPr>
      <w:r w:rsidRPr="00E526F7">
        <w:rPr>
          <w:sz w:val="24"/>
          <w:szCs w:val="24"/>
        </w:rPr>
        <w:t xml:space="preserve">3. Padlástér beépítése: </w:t>
      </w:r>
    </w:p>
    <w:p w:rsidR="00E526F7" w:rsidRPr="00E526F7" w:rsidRDefault="00E526F7" w:rsidP="00E526F7">
      <w:pPr>
        <w:rPr>
          <w:sz w:val="24"/>
          <w:szCs w:val="24"/>
        </w:rPr>
      </w:pPr>
      <w:r w:rsidRPr="00E526F7">
        <w:rPr>
          <w:sz w:val="24"/>
          <w:szCs w:val="24"/>
        </w:rPr>
        <w:t xml:space="preserve">- A jelenlegi padlástérben leválasztásra kerül egy 40 m2-es raktár helyiség, ami lehetővé teszi, hogy a földszinten a felszabaduló helyiségekben a már </w:t>
      </w:r>
      <w:proofErr w:type="gramStart"/>
      <w:r w:rsidRPr="00E526F7">
        <w:rPr>
          <w:sz w:val="24"/>
          <w:szCs w:val="24"/>
        </w:rPr>
        <w:t>működtetett</w:t>
      </w:r>
      <w:proofErr w:type="gramEnd"/>
      <w:r w:rsidRPr="00E526F7">
        <w:rPr>
          <w:sz w:val="24"/>
          <w:szCs w:val="24"/>
        </w:rPr>
        <w:t xml:space="preserve"> de nagy szervezést igénylő egymást keresztező tevékenységek megvalósuljanak. A </w:t>
      </w:r>
      <w:proofErr w:type="spellStart"/>
      <w:r w:rsidRPr="00E526F7">
        <w:rPr>
          <w:sz w:val="24"/>
          <w:szCs w:val="24"/>
        </w:rPr>
        <w:t>padlátéri</w:t>
      </w:r>
      <w:proofErr w:type="spellEnd"/>
      <w:r w:rsidRPr="00E526F7">
        <w:rPr>
          <w:sz w:val="24"/>
          <w:szCs w:val="24"/>
        </w:rPr>
        <w:t xml:space="preserve"> raktárak </w:t>
      </w:r>
      <w:proofErr w:type="spellStart"/>
      <w:r w:rsidRPr="00E526F7">
        <w:rPr>
          <w:sz w:val="24"/>
          <w:szCs w:val="24"/>
        </w:rPr>
        <w:t>megözelítésére</w:t>
      </w:r>
      <w:proofErr w:type="spellEnd"/>
      <w:r w:rsidRPr="00E526F7">
        <w:rPr>
          <w:sz w:val="24"/>
          <w:szCs w:val="24"/>
        </w:rPr>
        <w:t xml:space="preserve"> a meglévő, tálalóból nyíló tároló </w:t>
      </w:r>
      <w:proofErr w:type="spellStart"/>
      <w:r w:rsidRPr="00E526F7">
        <w:rPr>
          <w:sz w:val="24"/>
          <w:szCs w:val="24"/>
        </w:rPr>
        <w:t>helyiségebn</w:t>
      </w:r>
      <w:proofErr w:type="spellEnd"/>
      <w:r w:rsidRPr="00E526F7">
        <w:rPr>
          <w:sz w:val="24"/>
          <w:szCs w:val="24"/>
        </w:rPr>
        <w:t xml:space="preserve"> kialakításra kerül egy új, raktárhoz vezető lépcső, melynek megközelítése a foglalkoztatóból lesz megoldható új nyílászáró beépítésével. </w:t>
      </w:r>
    </w:p>
    <w:p w:rsidR="00E526F7" w:rsidRPr="00E526F7" w:rsidRDefault="00E526F7" w:rsidP="00E526F7">
      <w:pPr>
        <w:rPr>
          <w:sz w:val="24"/>
          <w:szCs w:val="24"/>
        </w:rPr>
      </w:pPr>
      <w:r w:rsidRPr="00E526F7">
        <w:rPr>
          <w:sz w:val="24"/>
          <w:szCs w:val="24"/>
        </w:rPr>
        <w:t xml:space="preserve">A padlástérben a </w:t>
      </w:r>
      <w:proofErr w:type="gramStart"/>
      <w:r w:rsidRPr="00E526F7">
        <w:rPr>
          <w:sz w:val="24"/>
          <w:szCs w:val="24"/>
        </w:rPr>
        <w:t>raktár helyiség</w:t>
      </w:r>
      <w:proofErr w:type="gramEnd"/>
      <w:r w:rsidRPr="00E526F7">
        <w:rPr>
          <w:sz w:val="24"/>
          <w:szCs w:val="24"/>
        </w:rPr>
        <w:t xml:space="preserve"> gipszkarton szerkezettel lesz leválasztva (a földszinti </w:t>
      </w:r>
      <w:proofErr w:type="spellStart"/>
      <w:r w:rsidRPr="00E526F7">
        <w:rPr>
          <w:sz w:val="24"/>
          <w:szCs w:val="24"/>
        </w:rPr>
        <w:t>lépcsótér</w:t>
      </w:r>
      <w:proofErr w:type="spellEnd"/>
      <w:r w:rsidRPr="00E526F7">
        <w:rPr>
          <w:sz w:val="24"/>
          <w:szCs w:val="24"/>
        </w:rPr>
        <w:t xml:space="preserve"> felől hőszigetelt kivitelben), illetve járható padozattal lesz ellátva. </w:t>
      </w:r>
    </w:p>
    <w:p w:rsidR="00E526F7" w:rsidRPr="00E526F7" w:rsidRDefault="00E526F7" w:rsidP="00E526F7">
      <w:pPr>
        <w:rPr>
          <w:sz w:val="24"/>
          <w:szCs w:val="24"/>
        </w:rPr>
      </w:pPr>
      <w:r w:rsidRPr="00E526F7">
        <w:rPr>
          <w:sz w:val="24"/>
          <w:szCs w:val="24"/>
        </w:rPr>
        <w:t xml:space="preserve">4. Új építés: </w:t>
      </w:r>
    </w:p>
    <w:p w:rsidR="00E526F7" w:rsidRPr="00E526F7" w:rsidRDefault="00E526F7" w:rsidP="00E526F7">
      <w:pPr>
        <w:rPr>
          <w:sz w:val="24"/>
          <w:szCs w:val="24"/>
        </w:rPr>
      </w:pPr>
      <w:r w:rsidRPr="00E526F7">
        <w:rPr>
          <w:sz w:val="24"/>
          <w:szCs w:val="24"/>
        </w:rPr>
        <w:t xml:space="preserve">- Meglévő kerítés bontását követően új kerítés építése. </w:t>
      </w:r>
    </w:p>
    <w:p w:rsidR="00E526F7" w:rsidRPr="00E526F7" w:rsidRDefault="00E526F7" w:rsidP="00E526F7">
      <w:pPr>
        <w:rPr>
          <w:sz w:val="24"/>
          <w:szCs w:val="24"/>
        </w:rPr>
      </w:pPr>
      <w:r w:rsidRPr="00E526F7">
        <w:rPr>
          <w:sz w:val="24"/>
          <w:szCs w:val="24"/>
        </w:rPr>
        <w:t xml:space="preserve">- Új parkoló építése az intézmény előtt </w:t>
      </w:r>
      <w:proofErr w:type="spellStart"/>
      <w:r w:rsidRPr="00E526F7">
        <w:rPr>
          <w:sz w:val="24"/>
          <w:szCs w:val="24"/>
        </w:rPr>
        <w:t>csapadékvízelvezető</w:t>
      </w:r>
      <w:proofErr w:type="spellEnd"/>
      <w:r w:rsidRPr="00E526F7">
        <w:rPr>
          <w:sz w:val="24"/>
          <w:szCs w:val="24"/>
        </w:rPr>
        <w:t xml:space="preserve"> árok lefedésével, szórt útalappal. </w:t>
      </w:r>
    </w:p>
    <w:p w:rsidR="00E526F7" w:rsidRPr="00E526F7" w:rsidRDefault="00E526F7" w:rsidP="00E526F7">
      <w:pPr>
        <w:rPr>
          <w:sz w:val="24"/>
          <w:szCs w:val="24"/>
        </w:rPr>
      </w:pPr>
      <w:r w:rsidRPr="00E526F7">
        <w:rPr>
          <w:sz w:val="24"/>
          <w:szCs w:val="24"/>
        </w:rPr>
        <w:t>- Új kerékpártároló építése 11x3 méter méretben.</w:t>
      </w:r>
    </w:p>
    <w:p w:rsidR="007B7B02" w:rsidRDefault="007B7B02" w:rsidP="007B7B02">
      <w:pPr>
        <w:autoSpaceDE w:val="0"/>
        <w:autoSpaceDN w:val="0"/>
        <w:adjustRightInd w:val="0"/>
        <w:rPr>
          <w:b/>
          <w:bCs/>
          <w:color w:val="000000"/>
          <w:sz w:val="18"/>
          <w:szCs w:val="18"/>
        </w:rPr>
      </w:pPr>
    </w:p>
    <w:p w:rsidR="00E526F7" w:rsidRDefault="00E526F7" w:rsidP="007B7B02">
      <w:pPr>
        <w:autoSpaceDE w:val="0"/>
        <w:autoSpaceDN w:val="0"/>
        <w:adjustRightInd w:val="0"/>
        <w:rPr>
          <w:b/>
          <w:bCs/>
          <w:color w:val="000000"/>
          <w:sz w:val="18"/>
          <w:szCs w:val="18"/>
        </w:rPr>
      </w:pPr>
    </w:p>
    <w:p w:rsidR="007B7B02" w:rsidRPr="00B41F3D" w:rsidRDefault="007B7B02" w:rsidP="007B7B02">
      <w:pPr>
        <w:rPr>
          <w:bCs/>
          <w:sz w:val="24"/>
          <w:szCs w:val="18"/>
        </w:rPr>
      </w:pPr>
      <w:r w:rsidRPr="00B41F3D">
        <w:rPr>
          <w:bCs/>
          <w:sz w:val="24"/>
          <w:szCs w:val="18"/>
        </w:rPr>
        <w:t>Az építési beruházáshoz kapcsolódó részletes leírást a műszaki leírás, illetve a költségvetés tartalmazza.</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A56BA" w:rsidRPr="002A56BA" w:rsidRDefault="002A56BA" w:rsidP="006666B5">
      <w:pPr>
        <w:pStyle w:val="Cmsor2"/>
        <w:keepNext w:val="0"/>
        <w:widowControl w:val="0"/>
        <w:numPr>
          <w:ilvl w:val="1"/>
          <w:numId w:val="0"/>
        </w:numPr>
        <w:tabs>
          <w:tab w:val="num" w:pos="798"/>
        </w:tabs>
        <w:spacing w:before="120" w:after="120"/>
        <w:rPr>
          <w:b w:val="0"/>
          <w:sz w:val="24"/>
          <w:szCs w:val="24"/>
        </w:rPr>
      </w:pPr>
      <w:r w:rsidRPr="002A56BA">
        <w:rPr>
          <w:b w:val="0"/>
          <w:sz w:val="24"/>
          <w:szCs w:val="24"/>
        </w:rPr>
        <w:t>5675 Telekgerendás, Dózsa György utca 8. hrsz</w:t>
      </w:r>
      <w:r w:rsidRPr="00E526F7">
        <w:rPr>
          <w:b w:val="0"/>
          <w:sz w:val="24"/>
          <w:szCs w:val="24"/>
        </w:rPr>
        <w:t>.:</w:t>
      </w:r>
      <w:r w:rsidR="00E526F7">
        <w:rPr>
          <w:b w:val="0"/>
          <w:sz w:val="24"/>
          <w:szCs w:val="24"/>
        </w:rPr>
        <w:t>215</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proofErr w:type="gramStart"/>
      <w:r>
        <w:rPr>
          <w:sz w:val="24"/>
          <w:szCs w:val="24"/>
        </w:rPr>
        <w:t>amely</w:t>
      </w:r>
      <w:proofErr w:type="gramEnd"/>
      <w:r>
        <w:rPr>
          <w:sz w:val="24"/>
          <w:szCs w:val="24"/>
        </w:rPr>
        <w:t xml:space="preserve"> teljes egészében </w:t>
      </w:r>
      <w:r w:rsidRPr="00807045">
        <w:rPr>
          <w:sz w:val="24"/>
          <w:szCs w:val="24"/>
        </w:rPr>
        <w:t>az általános ÁFA szabályok</w:t>
      </w:r>
      <w:r>
        <w:rPr>
          <w:sz w:val="24"/>
          <w:szCs w:val="24"/>
        </w:rPr>
        <w:t xml:space="preserve">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lastRenderedPageBreak/>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AE5A46">
        <w:rPr>
          <w:b w:val="0"/>
          <w:sz w:val="24"/>
          <w:szCs w:val="24"/>
        </w:rPr>
        <w:t>A</w:t>
      </w:r>
      <w:r w:rsidR="00B970AF" w:rsidRPr="00AE5A46">
        <w:rPr>
          <w:b w:val="0"/>
          <w:sz w:val="24"/>
          <w:szCs w:val="24"/>
        </w:rPr>
        <w:t xml:space="preserve"> munkaterület átadása </w:t>
      </w:r>
      <w:r w:rsidRPr="00AE5A46">
        <w:rPr>
          <w:b w:val="0"/>
          <w:sz w:val="24"/>
          <w:szCs w:val="24"/>
        </w:rPr>
        <w:t>a szerződés hatályba lépését követő</w:t>
      </w:r>
      <w:bookmarkStart w:id="0" w:name="_GoBack"/>
      <w:bookmarkEnd w:id="0"/>
      <w:r w:rsidRPr="00AE5A46">
        <w:rPr>
          <w:b w:val="0"/>
          <w:sz w:val="24"/>
          <w:szCs w:val="24"/>
        </w:rPr>
        <w:t xml:space="preserve"> 5 napon belül történik</w:t>
      </w:r>
      <w:r w:rsidR="00B970AF" w:rsidRPr="00AE5A46">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574D00">
        <w:rPr>
          <w:sz w:val="24"/>
          <w:szCs w:val="24"/>
        </w:rPr>
        <w:t>201</w:t>
      </w:r>
      <w:r w:rsidR="00514AE2" w:rsidRPr="00574D00">
        <w:rPr>
          <w:sz w:val="24"/>
          <w:szCs w:val="24"/>
        </w:rPr>
        <w:t>8</w:t>
      </w:r>
      <w:r w:rsidR="00F8112A" w:rsidRPr="00574D00">
        <w:rPr>
          <w:sz w:val="24"/>
          <w:szCs w:val="24"/>
        </w:rPr>
        <w:t xml:space="preserve">. </w:t>
      </w:r>
      <w:r w:rsidR="00557AE6" w:rsidRPr="00574D00">
        <w:rPr>
          <w:sz w:val="24"/>
          <w:szCs w:val="24"/>
        </w:rPr>
        <w:t>augusztus 15.</w:t>
      </w:r>
      <w:r w:rsidR="00F8112A" w:rsidRPr="00574D00">
        <w:rPr>
          <w:sz w:val="24"/>
          <w:szCs w:val="24"/>
        </w:rPr>
        <w:t xml:space="preserve"> </w:t>
      </w:r>
      <w:r w:rsidR="002603E8" w:rsidRPr="00574D00">
        <w:rPr>
          <w:sz w:val="24"/>
          <w:szCs w:val="24"/>
        </w:rPr>
        <w:t>nap</w:t>
      </w:r>
      <w:r w:rsidR="00F8112A" w:rsidRPr="00574D00">
        <w:rPr>
          <w:sz w:val="24"/>
          <w:szCs w:val="24"/>
        </w:rPr>
        <w:t>ja</w:t>
      </w:r>
      <w:r w:rsidR="002603E8" w:rsidRPr="00574D00">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lastRenderedPageBreak/>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lastRenderedPageBreak/>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CD1C24" w:rsidP="00B970AF">
      <w:pPr>
        <w:ind w:left="1881" w:right="2629"/>
        <w:jc w:val="center"/>
        <w:rPr>
          <w:sz w:val="24"/>
          <w:szCs w:val="24"/>
        </w:rPr>
      </w:pPr>
      <w:proofErr w:type="spellStart"/>
      <w:r>
        <w:rPr>
          <w:sz w:val="24"/>
          <w:szCs w:val="24"/>
        </w:rPr>
        <w:t>Ránkli</w:t>
      </w:r>
      <w:proofErr w:type="spellEnd"/>
      <w:r>
        <w:rPr>
          <w:sz w:val="24"/>
          <w:szCs w:val="24"/>
        </w:rPr>
        <w:t xml:space="preserve"> Ferenc</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lastRenderedPageBreak/>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 xml:space="preserve">%-ának megfelelő </w:t>
      </w:r>
      <w:proofErr w:type="gramStart"/>
      <w:r w:rsidRPr="00505D33">
        <w:rPr>
          <w:rFonts w:ascii="Times New Roman" w:hAnsi="Times New Roman"/>
          <w:sz w:val="24"/>
          <w:szCs w:val="24"/>
        </w:rPr>
        <w:t>összeg</w:t>
      </w:r>
      <w:proofErr w:type="gramEnd"/>
      <w:r w:rsidRPr="00505D33">
        <w:rPr>
          <w:rFonts w:ascii="Times New Roman" w:hAnsi="Times New Roman"/>
          <w:sz w:val="24"/>
          <w:szCs w:val="24"/>
        </w:rPr>
        <w:t xml:space="preserve"> mint előleg igénybevételének lehetőségét biztosítja a nyertes ajánlattevő részére.</w:t>
      </w:r>
    </w:p>
    <w:p w:rsidR="00574D00" w:rsidRPr="00505D33" w:rsidRDefault="00574D00" w:rsidP="00574D00">
      <w:pPr>
        <w:pStyle w:val="Nincstrkz1"/>
        <w:jc w:val="both"/>
        <w:rPr>
          <w:rFonts w:ascii="Times New Roman" w:hAnsi="Times New Roman"/>
          <w:sz w:val="24"/>
          <w:szCs w:val="24"/>
        </w:rPr>
      </w:pPr>
      <w:r w:rsidRPr="00505D33">
        <w:rPr>
          <w:rFonts w:ascii="Times New Roman" w:hAnsi="Times New Roman"/>
          <w:sz w:val="24"/>
          <w:szCs w:val="24"/>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574D00" w:rsidRPr="00505D33" w:rsidRDefault="00574D00" w:rsidP="00574D00">
      <w:pPr>
        <w:pStyle w:val="Nincstrkz1"/>
        <w:jc w:val="both"/>
        <w:rPr>
          <w:rFonts w:ascii="Times New Roman" w:hAnsi="Times New Roman"/>
          <w:sz w:val="24"/>
          <w:szCs w:val="24"/>
        </w:rPr>
      </w:pPr>
      <w:r w:rsidRPr="00505D33">
        <w:rPr>
          <w:rFonts w:ascii="Times New Roman" w:hAnsi="Times New Roman"/>
          <w:sz w:val="24"/>
          <w:szCs w:val="24"/>
        </w:rPr>
        <w:t>Az igényelt előleg összege a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574D00" w:rsidRPr="00574D00">
        <w:rPr>
          <w:rFonts w:ascii="Times New Roman" w:hAnsi="Times New Roman"/>
          <w:b/>
          <w:sz w:val="24"/>
          <w:szCs w:val="24"/>
        </w:rPr>
        <w:t>TOP-1.4.1.-15-BS1-2016-00042</w:t>
      </w:r>
      <w:r w:rsidR="00574D00">
        <w:rPr>
          <w:b/>
          <w:bCs/>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00505D33" w:rsidRPr="00505D33">
        <w:rPr>
          <w:rFonts w:ascii="Times New Roman" w:hAnsi="Times New Roman"/>
          <w:sz w:val="24"/>
          <w:szCs w:val="24"/>
        </w:rPr>
        <w:t>kötött támogatási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lastRenderedPageBreak/>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w:t>
      </w:r>
      <w:proofErr w:type="gramStart"/>
      <w:r w:rsidRPr="006C1F5B">
        <w:rPr>
          <w:b w:val="0"/>
          <w:sz w:val="24"/>
          <w:szCs w:val="24"/>
        </w:rPr>
        <w:t>A</w:t>
      </w:r>
      <w:proofErr w:type="gramEnd"/>
      <w:r w:rsidRPr="006C1F5B">
        <w:rPr>
          <w:b w:val="0"/>
          <w:sz w:val="24"/>
          <w:szCs w:val="24"/>
        </w:rPr>
        <w:t xml:space="preserve">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w:t>
      </w:r>
      <w:r w:rsidRPr="00457C5C">
        <w:rPr>
          <w:sz w:val="24"/>
        </w:rPr>
        <w:lastRenderedPageBreak/>
        <w:t xml:space="preserve">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CD1C24" w:rsidP="00B970AF">
      <w:pPr>
        <w:rPr>
          <w:sz w:val="24"/>
          <w:szCs w:val="24"/>
        </w:rPr>
      </w:pPr>
      <w:r>
        <w:rPr>
          <w:sz w:val="24"/>
          <w:szCs w:val="24"/>
        </w:rPr>
        <w:t>Telekgerendás</w:t>
      </w:r>
      <w:r w:rsidR="006C1F5B">
        <w:rPr>
          <w:sz w:val="24"/>
          <w:szCs w:val="24"/>
        </w:rPr>
        <w:t xml:space="preserve">, </w:t>
      </w:r>
      <w:r w:rsidR="0016511D">
        <w:rPr>
          <w:sz w:val="24"/>
          <w:szCs w:val="24"/>
        </w:rPr>
        <w:t>201</w:t>
      </w:r>
      <w:r w:rsidR="00EB0A1F">
        <w:rPr>
          <w:sz w:val="24"/>
          <w:szCs w:val="24"/>
        </w:rPr>
        <w:t>7</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E5" w:rsidRDefault="001E0EE5">
      <w:r>
        <w:separator/>
      </w:r>
    </w:p>
  </w:endnote>
  <w:endnote w:type="continuationSeparator" w:id="0">
    <w:p w:rsidR="001E0EE5" w:rsidRDefault="001E0EE5">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9F5DAD"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9F5DAD">
    <w:pPr>
      <w:pStyle w:val="llb"/>
      <w:jc w:val="center"/>
    </w:pPr>
    <w:r>
      <w:fldChar w:fldCharType="begin"/>
    </w:r>
    <w:r w:rsidR="00517C90">
      <w:instrText xml:space="preserve"> PAGE   \* MERGEFORMAT </w:instrText>
    </w:r>
    <w:r>
      <w:fldChar w:fldCharType="separate"/>
    </w:r>
    <w:r w:rsidR="00E526F7">
      <w:rPr>
        <w:noProof/>
      </w:rPr>
      <w:t>3</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E5" w:rsidRDefault="001E0EE5">
      <w:r>
        <w:separator/>
      </w:r>
    </w:p>
  </w:footnote>
  <w:footnote w:type="continuationSeparator" w:id="0">
    <w:p w:rsidR="001E0EE5" w:rsidRDefault="001E0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9F5DAD">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10"/>
  </w:hdrShapeDefaults>
  <w:footnotePr>
    <w:footnote w:id="-1"/>
    <w:footnote w:id="0"/>
  </w:footnotePr>
  <w:endnotePr>
    <w:endnote w:id="-1"/>
    <w:endnote w:id="0"/>
  </w:endnotePr>
  <w:compat>
    <w:doNotUseHTMLParagraphAutoSpacing/>
  </w:compat>
  <w:rsids>
    <w:rsidRoot w:val="00C030DA"/>
    <w:rsid w:val="0000245B"/>
    <w:rsid w:val="0000376D"/>
    <w:rsid w:val="000056F0"/>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C0E80"/>
    <w:rsid w:val="001C30A2"/>
    <w:rsid w:val="001C42AD"/>
    <w:rsid w:val="001C49EA"/>
    <w:rsid w:val="001E0EE5"/>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7475"/>
    <w:rsid w:val="0027097E"/>
    <w:rsid w:val="00271DF5"/>
    <w:rsid w:val="00273D53"/>
    <w:rsid w:val="00274B77"/>
    <w:rsid w:val="00281141"/>
    <w:rsid w:val="00283B3C"/>
    <w:rsid w:val="002858C2"/>
    <w:rsid w:val="00295CF6"/>
    <w:rsid w:val="002A0DE7"/>
    <w:rsid w:val="002A56BA"/>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2CBC"/>
    <w:rsid w:val="00364419"/>
    <w:rsid w:val="00367543"/>
    <w:rsid w:val="0037226F"/>
    <w:rsid w:val="0037279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57AE6"/>
    <w:rsid w:val="00574D00"/>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248A2"/>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6125E"/>
    <w:rsid w:val="00771990"/>
    <w:rsid w:val="0077628E"/>
    <w:rsid w:val="00785172"/>
    <w:rsid w:val="007874BA"/>
    <w:rsid w:val="007975DE"/>
    <w:rsid w:val="007A1DFE"/>
    <w:rsid w:val="007A2950"/>
    <w:rsid w:val="007A424A"/>
    <w:rsid w:val="007A687A"/>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07045"/>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5DAD"/>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1CF6"/>
    <w:rsid w:val="00C65EE1"/>
    <w:rsid w:val="00C67F54"/>
    <w:rsid w:val="00C71379"/>
    <w:rsid w:val="00C72D05"/>
    <w:rsid w:val="00C74D3B"/>
    <w:rsid w:val="00C75E99"/>
    <w:rsid w:val="00C76AB1"/>
    <w:rsid w:val="00C81353"/>
    <w:rsid w:val="00C816FB"/>
    <w:rsid w:val="00C857FA"/>
    <w:rsid w:val="00CA0FED"/>
    <w:rsid w:val="00CB1827"/>
    <w:rsid w:val="00CB3F82"/>
    <w:rsid w:val="00CB4064"/>
    <w:rsid w:val="00CB40FB"/>
    <w:rsid w:val="00CB4D86"/>
    <w:rsid w:val="00CB6DE6"/>
    <w:rsid w:val="00CC10BD"/>
    <w:rsid w:val="00CC13FC"/>
    <w:rsid w:val="00CC2150"/>
    <w:rsid w:val="00CC332A"/>
    <w:rsid w:val="00CC3594"/>
    <w:rsid w:val="00CC5077"/>
    <w:rsid w:val="00CC65AA"/>
    <w:rsid w:val="00CD1C24"/>
    <w:rsid w:val="00CD212F"/>
    <w:rsid w:val="00CD377B"/>
    <w:rsid w:val="00CE63AD"/>
    <w:rsid w:val="00CE6537"/>
    <w:rsid w:val="00CE7704"/>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6AE9"/>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526F7"/>
    <w:rsid w:val="00E63464"/>
    <w:rsid w:val="00E65121"/>
    <w:rsid w:val="00E673AF"/>
    <w:rsid w:val="00E708A0"/>
    <w:rsid w:val="00E73050"/>
    <w:rsid w:val="00E75C05"/>
    <w:rsid w:val="00E80094"/>
    <w:rsid w:val="00E840FB"/>
    <w:rsid w:val="00E93BB6"/>
    <w:rsid w:val="00EA0A3C"/>
    <w:rsid w:val="00EA3EAF"/>
    <w:rsid w:val="00EB0375"/>
    <w:rsid w:val="00EB061E"/>
    <w:rsid w:val="00EB062A"/>
    <w:rsid w:val="00EB0A1F"/>
    <w:rsid w:val="00EB17D2"/>
    <w:rsid w:val="00EB49F3"/>
    <w:rsid w:val="00EB56AE"/>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338C"/>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21321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2017-10-09T11:33:00Z</dcterms:created>
  <dcterms:modified xsi:type="dcterms:W3CDTF">2017-12-07T13:07:00Z</dcterms:modified>
</cp:coreProperties>
</file>